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FF24DC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3A444D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+*yqw*zDp*zbd*uhA*xaD*mDo*BjB*yam*tbD*fsc*zew*-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+*eDs*lyd*lyd*lyd*lyd*ody*ydt*ozo*jBn*gCi*zfE*-</w:t>
            </w:r>
            <w:r>
              <w:rPr>
                <w:rFonts w:ascii="PDF417x" w:hAnsi="PDF417x"/>
                <w:sz w:val="24"/>
                <w:szCs w:val="24"/>
              </w:rPr>
              <w:br/>
              <w:t>+*ftw*vBD*lCg*mts*Drc*ctk*BCk*BEE*ccc*xmw*onA*-</w:t>
            </w:r>
            <w:r>
              <w:rPr>
                <w:rFonts w:ascii="PDF417x" w:hAnsi="PDF417x"/>
                <w:sz w:val="24"/>
                <w:szCs w:val="24"/>
              </w:rPr>
              <w:br/>
              <w:t>+*ftA*BjE*xAd*nbm*sch*kfv*oxA*ytE*qyC*yhB*uws*-</w:t>
            </w:r>
            <w:r>
              <w:rPr>
                <w:rFonts w:ascii="PDF417x" w:hAnsi="PDF417x"/>
                <w:sz w:val="24"/>
                <w:szCs w:val="24"/>
              </w:rPr>
              <w:br/>
              <w:t>+*xjq*rva*Ety*xzf*cgz*jAo*jga*jqk*bCs*jll*uzq*-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C068DA8" w14:textId="77777777" w:rsidTr="005F330D">
        <w:trPr>
          <w:trHeight w:val="851"/>
        </w:trPr>
        <w:tc>
          <w:tcPr>
            <w:tcW w:w="0" w:type="auto"/>
          </w:tcPr>
          <w:p w14:paraId="5D9F1C1E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58369EF" wp14:editId="6D83B43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3B08742" w14:textId="77777777" w:rsidTr="004F6767">
        <w:trPr>
          <w:trHeight w:val="276"/>
        </w:trPr>
        <w:tc>
          <w:tcPr>
            <w:tcW w:w="0" w:type="auto"/>
          </w:tcPr>
          <w:p w14:paraId="627528F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3F2D4EA" w14:textId="77777777" w:rsidTr="004F6767">
        <w:trPr>
          <w:trHeight w:val="291"/>
        </w:trPr>
        <w:tc>
          <w:tcPr>
            <w:tcW w:w="0" w:type="auto"/>
          </w:tcPr>
          <w:p w14:paraId="6641C36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D25E116" w14:textId="77777777" w:rsidTr="004F6767">
        <w:trPr>
          <w:trHeight w:val="276"/>
        </w:trPr>
        <w:tc>
          <w:tcPr>
            <w:tcW w:w="0" w:type="auto"/>
          </w:tcPr>
          <w:p w14:paraId="15DEBDD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A07893C" w14:textId="77777777" w:rsidTr="004F6767">
        <w:trPr>
          <w:trHeight w:val="291"/>
        </w:trPr>
        <w:tc>
          <w:tcPr>
            <w:tcW w:w="0" w:type="auto"/>
          </w:tcPr>
          <w:p w14:paraId="5138C5C2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E286989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F658316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246-01/24-02/02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462C66D" w14:textId="531A441E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D2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5C62F87F" w14:textId="3107B8DB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D2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6342815D" w14:textId="77777777" w:rsidR="00D27F79" w:rsidRDefault="00D27F79" w:rsidP="00A049CD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</w:p>
    <w:p w14:paraId="413ABE57" w14:textId="31B40C24" w:rsidR="00A049CD" w:rsidRPr="00A049CD" w:rsidRDefault="00A049CD" w:rsidP="00A049CD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Na temelju članka 17. stavka 3. Zakona o ublažavanju i uklanjanju posljedica prirodnih nepogoda („Narodne novine“ broj 16/19) i članka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32. 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Statuta Grada Pregrade („Službeni glasnik Krapinsko – zagorske županije“, broj 6/13, 17/13, 16/18-pročišćeni tekst, 5/20, 8/21, 38/22 i 40/23)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Gradsko vijeće Grada Pregrade na svojoj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19. s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jednici održanoj dana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29.02.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2024. god. donosi</w:t>
      </w:r>
    </w:p>
    <w:p w14:paraId="05A4E76D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IZVJEŠĆE</w:t>
      </w:r>
    </w:p>
    <w:p w14:paraId="224EEF94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o izvršenju Plana djelovanja u području prirodnih nepogoda Grada Pregrade </w:t>
      </w:r>
    </w:p>
    <w:p w14:paraId="4949D655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za 2023. godinu</w:t>
      </w:r>
    </w:p>
    <w:p w14:paraId="30B0655A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bidi="en-US"/>
        </w:rPr>
      </w:pPr>
    </w:p>
    <w:p w14:paraId="7A2D0BCD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  <w:t xml:space="preserve">I. </w:t>
      </w:r>
    </w:p>
    <w:p w14:paraId="2D2ABD12" w14:textId="77777777" w:rsidR="00A049CD" w:rsidRPr="00A049CD" w:rsidRDefault="00A049CD" w:rsidP="00A049CD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5BA43048" w14:textId="77777777" w:rsidR="00A049CD" w:rsidRPr="00A049CD" w:rsidRDefault="00A049CD" w:rsidP="00A049CD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Gradsko vijeće Grada Pregrade usvojilo je Plan djelovanja u području prirodnih nepogoda za 2023. godinu („Službeni glasnik Krapinsko – zagorske županije“ broj 54/22). </w:t>
      </w:r>
    </w:p>
    <w:p w14:paraId="44DD24B4" w14:textId="77777777" w:rsidR="00A049CD" w:rsidRPr="00A049CD" w:rsidRDefault="00A049CD" w:rsidP="00A049CD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D5F277" w14:textId="77777777" w:rsidR="00A049CD" w:rsidRPr="00A049CD" w:rsidRDefault="00A049CD" w:rsidP="00A049CD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  <w:bookmarkStart w:id="0" w:name="_Toc2082171"/>
      <w:bookmarkStart w:id="1" w:name="_Toc2589512"/>
      <w:bookmarkStart w:id="2" w:name="_Toc6480053"/>
    </w:p>
    <w:bookmarkEnd w:id="0"/>
    <w:bookmarkEnd w:id="1"/>
    <w:bookmarkEnd w:id="2"/>
    <w:p w14:paraId="14C3C0B6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 xml:space="preserve">II. </w:t>
      </w:r>
    </w:p>
    <w:p w14:paraId="34C4B4CC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Prirodne nepogode</w:t>
      </w:r>
    </w:p>
    <w:p w14:paraId="7958D62A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601D0437" w14:textId="77777777" w:rsidR="00A049CD" w:rsidRPr="00A049CD" w:rsidRDefault="00A049CD" w:rsidP="00A049CD">
      <w:pPr>
        <w:ind w:firstLine="36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eastAsia="hr-HR"/>
        </w:rPr>
        <w:t>Prirodnim nepogodama smatraju se:</w:t>
      </w:r>
    </w:p>
    <w:p w14:paraId="54378EAA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potres,</w:t>
      </w:r>
    </w:p>
    <w:p w14:paraId="7269040B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olujni, orkanski i ostali jak vjetar,</w:t>
      </w:r>
    </w:p>
    <w:p w14:paraId="41CD169A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požar,</w:t>
      </w:r>
    </w:p>
    <w:p w14:paraId="73E8EE7B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poplava,</w:t>
      </w:r>
    </w:p>
    <w:p w14:paraId="4A11CB09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suša,</w:t>
      </w:r>
    </w:p>
    <w:p w14:paraId="27A6F6E8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tuča,</w:t>
      </w:r>
    </w:p>
    <w:p w14:paraId="4B5AE591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mraz,</w:t>
      </w:r>
    </w:p>
    <w:p w14:paraId="7925C9DC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izvanredno velika visina snijega,</w:t>
      </w:r>
    </w:p>
    <w:p w14:paraId="39BDE320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snježni nanos i lavina,</w:t>
      </w:r>
    </w:p>
    <w:p w14:paraId="44BF132C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lastRenderedPageBreak/>
        <w:t>nagomilavanje leda na vodotocima,</w:t>
      </w:r>
    </w:p>
    <w:p w14:paraId="714F62F0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klizanje, tečenje, odronjavanje i prevrtanje zemljišta,</w:t>
      </w:r>
    </w:p>
    <w:p w14:paraId="0D9376DE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druge pojave takva opsega koje, ovisno o mjesnim prilikama, uzrokuju bitne poremećaje u životu ljudi na određenom području.</w:t>
      </w:r>
    </w:p>
    <w:p w14:paraId="6D43E8DB" w14:textId="77777777" w:rsidR="00A049CD" w:rsidRPr="00A049CD" w:rsidRDefault="00A049CD" w:rsidP="00A049CD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Štetama od prirodnih nepogoda ne smatraju se one štete koje su namjerno izazvane na vlastitoj imovini te štete koje su nastale zbog nemara i/ili zbog nepoduzimanja propisanih mjera zaštite.</w:t>
      </w:r>
    </w:p>
    <w:p w14:paraId="6148FAF7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3" w:name="_Toc2082173"/>
      <w:bookmarkStart w:id="4" w:name="_Toc2589514"/>
      <w:bookmarkStart w:id="5" w:name="_Toc6480055"/>
      <w:bookmarkStart w:id="6" w:name="_Toc32500279"/>
      <w:r w:rsidRPr="00A049CD">
        <w:rPr>
          <w:rFonts w:ascii="Times New Roman" w:hAnsi="Times New Roman" w:cs="Times New Roman"/>
          <w:b w:val="0"/>
          <w:bCs w:val="0"/>
          <w:szCs w:val="24"/>
        </w:rPr>
        <w:t xml:space="preserve">III. </w:t>
      </w:r>
    </w:p>
    <w:p w14:paraId="47D0B4AA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Mjere i nositelji mjera u slučaju nastajanja prirodnih nepogoda na području </w:t>
      </w:r>
      <w:bookmarkEnd w:id="3"/>
      <w:bookmarkEnd w:id="4"/>
      <w:bookmarkEnd w:id="5"/>
      <w:bookmarkEnd w:id="6"/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Grada</w:t>
      </w:r>
    </w:p>
    <w:p w14:paraId="2CAFBCEB" w14:textId="77777777" w:rsidR="00A049CD" w:rsidRPr="00A049CD" w:rsidRDefault="00A049CD" w:rsidP="00A049C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6CEF5112" w14:textId="77777777" w:rsidR="00A049CD" w:rsidRPr="00A049CD" w:rsidRDefault="00A049CD" w:rsidP="00A049CD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3406073E" w14:textId="77777777" w:rsidR="00A049CD" w:rsidRPr="00A049CD" w:rsidRDefault="00A049CD" w:rsidP="00A049C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Planom djelovanja u području prirodnih nepogoda za 2023. god.  Grada Pregrade mjere i nositelji mjera u slučaju nastajanja prirodnih nepogoda određeni su za sljedeće prirodne nepogode:</w:t>
      </w:r>
    </w:p>
    <w:p w14:paraId="665097FC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Potres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3CE37CCF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Olujni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i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orkasnki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vjetar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7E37D801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Poplave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3F669127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Suša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5CDB697F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Tuča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</w:p>
    <w:p w14:paraId="686B0F4A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Mraz,</w:t>
      </w:r>
    </w:p>
    <w:p w14:paraId="6E368822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Klizišta</w:t>
      </w:r>
      <w:proofErr w:type="spellEnd"/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14:paraId="3D118307" w14:textId="77777777" w:rsidR="00A049CD" w:rsidRPr="00A049CD" w:rsidRDefault="00A049CD" w:rsidP="00A049CD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63DC74FD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bookmarkStart w:id="7" w:name="_Toc2082174"/>
      <w:bookmarkStart w:id="8" w:name="_Toc2589515"/>
      <w:bookmarkStart w:id="9" w:name="_Toc6480056"/>
      <w:bookmarkStart w:id="10" w:name="_Toc32500280"/>
      <w:r w:rsidRPr="00A049CD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>IV.</w:t>
      </w:r>
    </w:p>
    <w:p w14:paraId="1B80F8C3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Izvori sredstva pomoći za ublažavanje i djelomično uklanjanje posljedica prirodnih nepogoda</w:t>
      </w:r>
      <w:bookmarkEnd w:id="7"/>
      <w:bookmarkEnd w:id="8"/>
      <w:bookmarkEnd w:id="9"/>
      <w:bookmarkEnd w:id="10"/>
    </w:p>
    <w:p w14:paraId="3DD40511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Novčana sredstva i druge vrste pomoći za djelomičnu sanaciju šteta od prirodnih nepogoda na imovini oštećenika osiguravaju se iz: </w:t>
      </w:r>
    </w:p>
    <w:p w14:paraId="09D327CF" w14:textId="77777777" w:rsidR="00A049CD" w:rsidRPr="00A049CD" w:rsidRDefault="00A049CD" w:rsidP="00A049CD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/>
        </w:rPr>
        <w:t>Državnog proračuna s proračunskog razdjela ministarstva nadležnog za financije,</w:t>
      </w:r>
    </w:p>
    <w:p w14:paraId="04AAE062" w14:textId="77777777" w:rsidR="00A049CD" w:rsidRPr="00A049CD" w:rsidRDefault="00A049CD" w:rsidP="00A049CD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/>
        </w:rPr>
        <w:t xml:space="preserve">Fondova Europske unije, i </w:t>
      </w:r>
    </w:p>
    <w:p w14:paraId="2A6EBB36" w14:textId="77777777" w:rsidR="00A049CD" w:rsidRPr="00A049CD" w:rsidRDefault="00A049CD" w:rsidP="00A049CD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/>
        </w:rPr>
        <w:t>Donacija.</w:t>
      </w:r>
    </w:p>
    <w:p w14:paraId="7510D584" w14:textId="77777777" w:rsidR="00A049CD" w:rsidRPr="00A049CD" w:rsidRDefault="00A049CD" w:rsidP="00A049CD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1DC0D0F" w14:textId="77777777" w:rsidR="00A049CD" w:rsidRP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Sredstva iz fondova EU se ne mogu osigurati unaprijed, njihova dodjela se provodi prema posebnim propisima kojima se uređuje korištenje sredstava iz fondova EU.</w:t>
      </w:r>
    </w:p>
    <w:p w14:paraId="11EDC5B4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Grada. Gradonačelnik te krajnji korisnici odgovorni su za namjensko korištenje sredstava pomoći za ublažavanje i djelomično uklanjanje posljedica prirodnih nepogoda.</w:t>
      </w:r>
    </w:p>
    <w:p w14:paraId="69C64847" w14:textId="77777777" w:rsidR="00A049CD" w:rsidRPr="00A049CD" w:rsidRDefault="00A049CD" w:rsidP="00A049CD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Pomoć za ublažavanje i djelomično uklanjanje posljedica prirodnih nepogoda ne dodjeljuje se za:</w:t>
      </w:r>
    </w:p>
    <w:p w14:paraId="76CFCD57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koja je osigurana,</w:t>
      </w:r>
    </w:p>
    <w:p w14:paraId="1D0584FC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koje nastanu od prirodnih nepogoda, a izazvane su namjerno, iz krajnjeg nemara ili nisu bile poduzete propisane mjere zaštite,</w:t>
      </w:r>
    </w:p>
    <w:p w14:paraId="77CB6D1E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neizravne štete,</w:t>
      </w:r>
    </w:p>
    <w:p w14:paraId="5226133B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lastRenderedPageBreak/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19BC97AD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73138822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A049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hr-HR" w:eastAsia="hr-HR"/>
        </w:rPr>
        <w:t>Zakona</w:t>
      </w: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</w:t>
      </w:r>
    </w:p>
    <w:p w14:paraId="4F5A7AB5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štete u slučaju </w:t>
      </w:r>
      <w:proofErr w:type="spellStart"/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osigurljivih</w:t>
      </w:r>
      <w:proofErr w:type="spellEnd"/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 rizika na imovini koja nije osigurana ako je vrijednost oštećene imovine manja od 60 % vrijednosti imovine.</w:t>
      </w:r>
      <w:bookmarkStart w:id="11" w:name="_Toc32500281"/>
    </w:p>
    <w:p w14:paraId="5D22636B" w14:textId="77777777" w:rsidR="00A049CD" w:rsidRPr="00A049CD" w:rsidRDefault="00A049CD" w:rsidP="00A049CD">
      <w:pPr>
        <w:ind w:left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049CD">
        <w:rPr>
          <w:rFonts w:ascii="Times New Roman" w:hAnsi="Times New Roman" w:cs="Times New Roman"/>
          <w:sz w:val="24"/>
          <w:szCs w:val="24"/>
        </w:rPr>
        <w:t>V.</w:t>
      </w:r>
    </w:p>
    <w:p w14:paraId="0B4CEEC5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Proglašenje prirodne nepogode</w:t>
      </w:r>
      <w:bookmarkEnd w:id="11"/>
    </w:p>
    <w:p w14:paraId="2170A873" w14:textId="77777777" w:rsidR="00A049CD" w:rsidRPr="00A049CD" w:rsidRDefault="00A049CD" w:rsidP="00A049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područje Grada Pregrade u 2023. godini proglašena je prirodna nepogoda – klizanje, tečenje, odronjavanje i prevrtanje zemljišta uslijed obilnih padalina tijekom mjeseca svibnja,  uslijed čeka su na navedenom području nastale velike materijalne štete na stambenim i gospodarskim objektima, komunalnoj infrastrukturi, nerazvrstanim, lokalnim i županijskim cestama i poljoprivredom zemljištu. </w:t>
      </w:r>
    </w:p>
    <w:p w14:paraId="79FB160C" w14:textId="77777777" w:rsidR="00A049CD" w:rsidRPr="00A049CD" w:rsidRDefault="00A049CD" w:rsidP="00A049CD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Odluka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o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proglašenju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prirodne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nepogode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–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klizanje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,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tečenje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,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odronjavanje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i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prevrtanje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zemljišta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za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područje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Grada Pregrada (“Službeni glasnik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Krapinsko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–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zagorske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županije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” </w:t>
      </w:r>
      <w:proofErr w:type="spellStart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broj</w:t>
      </w:r>
      <w:proofErr w:type="spellEnd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 26/23). </w:t>
      </w:r>
    </w:p>
    <w:p w14:paraId="3089B522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12" w:name="_Toc32500282"/>
      <w:r w:rsidRPr="00A049CD">
        <w:rPr>
          <w:rFonts w:ascii="Times New Roman" w:hAnsi="Times New Roman" w:cs="Times New Roman"/>
          <w:b w:val="0"/>
          <w:bCs w:val="0"/>
          <w:szCs w:val="24"/>
        </w:rPr>
        <w:t xml:space="preserve">VI. </w:t>
      </w:r>
    </w:p>
    <w:p w14:paraId="2DF6AD0C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i/>
          <w:iCs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Procjena prirodnih nepogoda na području Grada Pregrada u posljednjih 10 godina</w:t>
      </w:r>
      <w:bookmarkEnd w:id="12"/>
    </w:p>
    <w:p w14:paraId="6B597B13" w14:textId="50D61EB4" w:rsidR="00A049CD" w:rsidRPr="00A049CD" w:rsidRDefault="00A049CD" w:rsidP="00A049CD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bookmarkStart w:id="13" w:name="_Toc511734948"/>
      <w:bookmarkStart w:id="14" w:name="_Toc6480084"/>
      <w:bookmarkStart w:id="15" w:name="_Toc32500290"/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Tablica </w:t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/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SEQ Tablica \* ARABIC </w:instrText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="002951B8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Prikaz šteta uslijed elementarnih nepogoda na području </w:t>
      </w:r>
      <w:bookmarkEnd w:id="13"/>
      <w:bookmarkEnd w:id="14"/>
      <w:bookmarkEnd w:id="15"/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>Grada Pregrade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3075"/>
        <w:gridCol w:w="2932"/>
        <w:gridCol w:w="2211"/>
      </w:tblGrid>
      <w:tr w:rsidR="00A049CD" w:rsidRPr="00A049CD" w14:paraId="559E1B91" w14:textId="77777777" w:rsidTr="002325C2">
        <w:tc>
          <w:tcPr>
            <w:tcW w:w="844" w:type="dxa"/>
            <w:vAlign w:val="center"/>
          </w:tcPr>
          <w:p w14:paraId="62D3804F" w14:textId="77777777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3075" w:type="dxa"/>
            <w:vAlign w:val="center"/>
          </w:tcPr>
          <w:p w14:paraId="66EE5301" w14:textId="77777777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prirodne nepogode</w:t>
            </w:r>
          </w:p>
        </w:tc>
        <w:tc>
          <w:tcPr>
            <w:tcW w:w="2932" w:type="dxa"/>
            <w:vAlign w:val="center"/>
          </w:tcPr>
          <w:p w14:paraId="5FF33450" w14:textId="77777777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Godina nastanka prirodne nepogode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102AD0EF" w14:textId="644BFCA5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Prijavljena šteta (eura)</w:t>
            </w:r>
          </w:p>
        </w:tc>
      </w:tr>
      <w:tr w:rsidR="002325C2" w:rsidRPr="002325C2" w14:paraId="7FB2A636" w14:textId="77777777" w:rsidTr="002325C2">
        <w:tc>
          <w:tcPr>
            <w:tcW w:w="844" w:type="dxa"/>
            <w:vAlign w:val="center"/>
          </w:tcPr>
          <w:p w14:paraId="2D94731A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075" w:type="dxa"/>
            <w:vAlign w:val="center"/>
          </w:tcPr>
          <w:p w14:paraId="331075BA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Klizišta</w:t>
            </w:r>
          </w:p>
        </w:tc>
        <w:tc>
          <w:tcPr>
            <w:tcW w:w="2932" w:type="dxa"/>
            <w:vAlign w:val="center"/>
          </w:tcPr>
          <w:p w14:paraId="19812CC6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2013.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F775B" w14:textId="665A021F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276.101,18</w:t>
            </w:r>
          </w:p>
        </w:tc>
      </w:tr>
      <w:tr w:rsidR="002325C2" w:rsidRPr="002325C2" w14:paraId="01840F6D" w14:textId="77777777" w:rsidTr="002325C2">
        <w:tc>
          <w:tcPr>
            <w:tcW w:w="844" w:type="dxa"/>
            <w:vAlign w:val="center"/>
          </w:tcPr>
          <w:p w14:paraId="039F62C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075" w:type="dxa"/>
            <w:vAlign w:val="center"/>
          </w:tcPr>
          <w:p w14:paraId="149C206B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Klizišta</w:t>
            </w:r>
          </w:p>
        </w:tc>
        <w:tc>
          <w:tcPr>
            <w:tcW w:w="2932" w:type="dxa"/>
            <w:vAlign w:val="center"/>
          </w:tcPr>
          <w:p w14:paraId="449452FB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442C" w14:textId="5A036E3E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517.230,87</w:t>
            </w:r>
          </w:p>
        </w:tc>
      </w:tr>
      <w:tr w:rsidR="002325C2" w:rsidRPr="002325C2" w14:paraId="71891196" w14:textId="77777777" w:rsidTr="002325C2">
        <w:tc>
          <w:tcPr>
            <w:tcW w:w="844" w:type="dxa"/>
            <w:vAlign w:val="center"/>
          </w:tcPr>
          <w:p w14:paraId="425067FE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075" w:type="dxa"/>
            <w:vAlign w:val="center"/>
          </w:tcPr>
          <w:p w14:paraId="21B2593D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Odron zemljišta</w:t>
            </w:r>
          </w:p>
        </w:tc>
        <w:tc>
          <w:tcPr>
            <w:tcW w:w="2932" w:type="dxa"/>
            <w:vAlign w:val="center"/>
          </w:tcPr>
          <w:p w14:paraId="52162F8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55D8" w14:textId="036507F3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590.139,28</w:t>
            </w:r>
          </w:p>
        </w:tc>
      </w:tr>
      <w:tr w:rsidR="002325C2" w:rsidRPr="002325C2" w14:paraId="4CB7CBFB" w14:textId="77777777" w:rsidTr="002325C2">
        <w:tc>
          <w:tcPr>
            <w:tcW w:w="844" w:type="dxa"/>
            <w:vAlign w:val="center"/>
          </w:tcPr>
          <w:p w14:paraId="3274AAB1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075" w:type="dxa"/>
            <w:vAlign w:val="center"/>
          </w:tcPr>
          <w:p w14:paraId="40C5243D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Mraz</w:t>
            </w:r>
          </w:p>
        </w:tc>
        <w:tc>
          <w:tcPr>
            <w:tcW w:w="2932" w:type="dxa"/>
            <w:vAlign w:val="center"/>
          </w:tcPr>
          <w:p w14:paraId="660C0D2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2016.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8413" w14:textId="424249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327.214,05</w:t>
            </w:r>
          </w:p>
        </w:tc>
      </w:tr>
      <w:tr w:rsidR="002325C2" w:rsidRPr="002325C2" w14:paraId="6380BF67" w14:textId="77777777" w:rsidTr="002325C2">
        <w:tc>
          <w:tcPr>
            <w:tcW w:w="844" w:type="dxa"/>
            <w:vAlign w:val="center"/>
          </w:tcPr>
          <w:p w14:paraId="4219386C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075" w:type="dxa"/>
            <w:vAlign w:val="center"/>
          </w:tcPr>
          <w:p w14:paraId="5C9651B6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Mraz</w:t>
            </w:r>
          </w:p>
        </w:tc>
        <w:tc>
          <w:tcPr>
            <w:tcW w:w="2932" w:type="dxa"/>
            <w:vAlign w:val="center"/>
          </w:tcPr>
          <w:p w14:paraId="0DC9A217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2017.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C0036" w14:textId="6D08EBC6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92.905,97</w:t>
            </w:r>
          </w:p>
        </w:tc>
      </w:tr>
      <w:tr w:rsidR="002325C2" w:rsidRPr="002325C2" w14:paraId="14BCD4D2" w14:textId="77777777" w:rsidTr="002325C2">
        <w:tc>
          <w:tcPr>
            <w:tcW w:w="844" w:type="dxa"/>
            <w:vAlign w:val="center"/>
          </w:tcPr>
          <w:p w14:paraId="5D3BBD9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075" w:type="dxa"/>
            <w:vAlign w:val="center"/>
          </w:tcPr>
          <w:p w14:paraId="57E433C6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Tuča</w:t>
            </w:r>
          </w:p>
        </w:tc>
        <w:tc>
          <w:tcPr>
            <w:tcW w:w="2932" w:type="dxa"/>
            <w:vAlign w:val="center"/>
          </w:tcPr>
          <w:p w14:paraId="68A3136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2017.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D87BA" w14:textId="52E5285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525.651,60</w:t>
            </w:r>
          </w:p>
        </w:tc>
      </w:tr>
      <w:tr w:rsidR="002325C2" w:rsidRPr="002325C2" w14:paraId="483422B9" w14:textId="77777777" w:rsidTr="002325C2">
        <w:tc>
          <w:tcPr>
            <w:tcW w:w="844" w:type="dxa"/>
            <w:vAlign w:val="center"/>
          </w:tcPr>
          <w:p w14:paraId="2B3D457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075" w:type="dxa"/>
            <w:vAlign w:val="center"/>
          </w:tcPr>
          <w:p w14:paraId="689FDE5E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Odron zemljišta</w:t>
            </w:r>
          </w:p>
        </w:tc>
        <w:tc>
          <w:tcPr>
            <w:tcW w:w="2932" w:type="dxa"/>
            <w:vAlign w:val="center"/>
          </w:tcPr>
          <w:p w14:paraId="5822B60E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2018.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F253B" w14:textId="690D562D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911.253,86</w:t>
            </w:r>
          </w:p>
        </w:tc>
      </w:tr>
      <w:tr w:rsidR="002325C2" w:rsidRPr="002325C2" w14:paraId="42C4A940" w14:textId="77777777" w:rsidTr="002325C2">
        <w:tc>
          <w:tcPr>
            <w:tcW w:w="844" w:type="dxa"/>
            <w:vAlign w:val="center"/>
          </w:tcPr>
          <w:p w14:paraId="1324E854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075" w:type="dxa"/>
            <w:vAlign w:val="center"/>
          </w:tcPr>
          <w:p w14:paraId="09F19F2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Orkanski vjetar</w:t>
            </w:r>
          </w:p>
        </w:tc>
        <w:tc>
          <w:tcPr>
            <w:tcW w:w="2932" w:type="dxa"/>
            <w:vAlign w:val="center"/>
          </w:tcPr>
          <w:p w14:paraId="1574783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2019.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8010" w14:textId="5C2DEDC4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745.697,69</w:t>
            </w:r>
          </w:p>
        </w:tc>
      </w:tr>
      <w:tr w:rsidR="002325C2" w:rsidRPr="002325C2" w14:paraId="4554C174" w14:textId="77777777" w:rsidTr="002325C2">
        <w:tc>
          <w:tcPr>
            <w:tcW w:w="844" w:type="dxa"/>
            <w:vAlign w:val="center"/>
          </w:tcPr>
          <w:p w14:paraId="0D9DC203" w14:textId="77777777" w:rsidR="002325C2" w:rsidRPr="00CE3238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CE3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075" w:type="dxa"/>
            <w:vAlign w:val="center"/>
          </w:tcPr>
          <w:p w14:paraId="7828A4AF" w14:textId="77777777" w:rsidR="002325C2" w:rsidRPr="00CE3238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CE3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Klizanje, tečenje, odronjavanje i prevrtanje zemljišta</w:t>
            </w:r>
          </w:p>
        </w:tc>
        <w:tc>
          <w:tcPr>
            <w:tcW w:w="2932" w:type="dxa"/>
            <w:vAlign w:val="center"/>
          </w:tcPr>
          <w:p w14:paraId="4A42C53C" w14:textId="77777777" w:rsidR="002325C2" w:rsidRPr="00CE3238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CE3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211" w:type="dxa"/>
            <w:vAlign w:val="center"/>
          </w:tcPr>
          <w:p w14:paraId="7E956BC8" w14:textId="6C69722D" w:rsidR="002325C2" w:rsidRPr="00CE3238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38">
              <w:rPr>
                <w:rFonts w:ascii="Times New Roman" w:hAnsi="Times New Roman" w:cs="Times New Roman"/>
                <w:sz w:val="24"/>
                <w:szCs w:val="24"/>
              </w:rPr>
              <w:t>2.714.974,07</w:t>
            </w:r>
          </w:p>
        </w:tc>
      </w:tr>
    </w:tbl>
    <w:p w14:paraId="5F8E6B43" w14:textId="77777777" w:rsidR="00A049CD" w:rsidRPr="002325C2" w:rsidRDefault="00A049CD" w:rsidP="00A049CD">
      <w:pPr>
        <w:rPr>
          <w:rFonts w:ascii="Times New Roman" w:hAnsi="Times New Roman" w:cs="Times New Roman"/>
          <w:sz w:val="24"/>
          <w:szCs w:val="24"/>
          <w:highlight w:val="yellow"/>
        </w:rPr>
      </w:pPr>
      <w:bookmarkStart w:id="16" w:name="_Toc2082183"/>
      <w:bookmarkStart w:id="17" w:name="_Toc2589523"/>
      <w:bookmarkStart w:id="18" w:name="_Toc6480064"/>
      <w:bookmarkStart w:id="19" w:name="_Toc32500283"/>
    </w:p>
    <w:p w14:paraId="75B5C74C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szCs w:val="24"/>
        </w:rPr>
        <w:t>VII.</w:t>
      </w:r>
    </w:p>
    <w:p w14:paraId="59ABA645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Mjere i suradnja s nadležnim tijelima</w:t>
      </w:r>
      <w:bookmarkEnd w:id="16"/>
      <w:bookmarkEnd w:id="17"/>
      <w:bookmarkEnd w:id="18"/>
      <w:bookmarkEnd w:id="19"/>
    </w:p>
    <w:p w14:paraId="2916820E" w14:textId="77777777" w:rsidR="00A049CD" w:rsidRP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Nadležna tijela za provedbu mjera s ciljem djelomičnog ublažavanja šteta uslijed prirodnih nepogoda jesu: </w:t>
      </w:r>
    </w:p>
    <w:p w14:paraId="5F881685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Vlada Republike Hrvatske,</w:t>
      </w:r>
    </w:p>
    <w:p w14:paraId="02D4D871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Povjerenstva za procjenu šteta od elementarnih nepogoda,</w:t>
      </w:r>
    </w:p>
    <w:p w14:paraId="3A801EA6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lastRenderedPageBreak/>
        <w:t>Nadležna ministarstava (za poljoprivredu, ribarstvo i akvakulturu, gospodarstvo, graditeljstvo i prostorno uređenje, zaštitu okoliša i energetiku, more, promet i infrastrukturu ...),</w:t>
      </w:r>
    </w:p>
    <w:p w14:paraId="6024979A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Krapinsko - zagorska županija,</w:t>
      </w:r>
    </w:p>
    <w:p w14:paraId="76D8E2DB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Grad Pregrada.</w:t>
      </w:r>
    </w:p>
    <w:p w14:paraId="7983EBAF" w14:textId="77777777" w:rsidR="00A049CD" w:rsidRPr="00A049CD" w:rsidRDefault="00A049CD" w:rsidP="00A049CD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54F589CA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6AB3F5E7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Članove i broj članova gradskog povjerenstva imenuje Gradsko vijeće na razdoblje od 4 godine i o njihovu imenovanju obavještava županijsko povjerenstvo. Gradsko povjerenstvo imenovano je Odlukom o imenovanju članova Gradskog povjerenstva za procjenu šteta od prirodnih nepogoda („Službeni glasnik Krapinsko – zagorske županije“ broj 54/22).</w:t>
      </w:r>
    </w:p>
    <w:p w14:paraId="14ED91DC" w14:textId="77777777" w:rsidR="00A049CD" w:rsidRP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Gradsko povjerenstvo za procjenu šteta od prirodnih nepogoda na području Grada Pregrada broji ukupno 5 članova. </w:t>
      </w:r>
    </w:p>
    <w:p w14:paraId="790170D2" w14:textId="77777777" w:rsidR="00A049CD" w:rsidRPr="00A049CD" w:rsidRDefault="00A049CD" w:rsidP="00A049CD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0" w:name="_Toc32500284"/>
      <w:r w:rsidRPr="00A049CD">
        <w:rPr>
          <w:rFonts w:ascii="Times New Roman" w:hAnsi="Times New Roman" w:cs="Times New Roman"/>
          <w:i/>
          <w:iCs/>
          <w:sz w:val="24"/>
          <w:szCs w:val="24"/>
        </w:rPr>
        <w:t>Agrotehničke mjere</w:t>
      </w:r>
      <w:bookmarkEnd w:id="20"/>
    </w:p>
    <w:p w14:paraId="47522891" w14:textId="77777777" w:rsidR="00A049CD" w:rsidRPr="00A049CD" w:rsidRDefault="00A049CD" w:rsidP="00A049CD">
      <w:pPr>
        <w:spacing w:after="225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Gradsko vijeće Grada Pregrade donijelo je Odluku o agrotehničkim mjerama i mjerama te uređivanju i održavanju poljoprivrednih rudina na području Grada Pregrade („Službeni glasnik Krapinsko - zagorske županije“ broj 26/19, 39/21). </w:t>
      </w:r>
    </w:p>
    <w:p w14:paraId="35EB1B51" w14:textId="77777777" w:rsidR="00A049CD" w:rsidRPr="00A049CD" w:rsidRDefault="00A049CD" w:rsidP="00A049CD">
      <w:pPr>
        <w:pStyle w:val="Naslov2"/>
        <w:spacing w:before="0" w:after="2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bookmarkStart w:id="21" w:name="_Toc32500285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Mjere civilne zaštite</w:t>
      </w:r>
      <w:bookmarkEnd w:id="21"/>
    </w:p>
    <w:p w14:paraId="1783C7B2" w14:textId="77777777" w:rsid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Gradonačelnik Grada Pregrade donio je Odluku o donošenju Plana djelovanja civilne zaštite Grada Pregrade („Službeni glasnik Krapinsko - zagorske županije“  broj 4/22). </w:t>
      </w:r>
    </w:p>
    <w:p w14:paraId="534F8DD2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90C644" w14:textId="77777777" w:rsidR="00A049CD" w:rsidRPr="00A049CD" w:rsidRDefault="00A049CD" w:rsidP="00A049CD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2" w:name="_Toc32500286"/>
      <w:r w:rsidRPr="00A049CD">
        <w:rPr>
          <w:rFonts w:ascii="Times New Roman" w:hAnsi="Times New Roman" w:cs="Times New Roman"/>
          <w:i/>
          <w:iCs/>
          <w:sz w:val="24"/>
          <w:szCs w:val="24"/>
        </w:rPr>
        <w:t>Mjere zaštite od požara</w:t>
      </w:r>
      <w:bookmarkEnd w:id="22"/>
    </w:p>
    <w:p w14:paraId="0E12E6F0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Zakonom o zaštiti od požara („Narodne novine“ broj 92/10) uređen je sustav zaštite od požara. U cilju zaštite od požara, Zakonom o zaštiti od požara („Narodne novine“ broj 92/10)  propisano je poduzimanje  organizacijskih, tehničkih i drugih mjera i radnji za:</w:t>
      </w:r>
    </w:p>
    <w:p w14:paraId="06323C90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otklanjanje opasnosti od nastanka požara,</w:t>
      </w:r>
    </w:p>
    <w:p w14:paraId="504A1CB4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rano otkrivanje, obavješćivanje te sprječavanje širenja i učinkovito gašenje požara,</w:t>
      </w:r>
    </w:p>
    <w:p w14:paraId="463C0EAA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sigurno spašavanje ljudi i životinja ugroženih požarom,</w:t>
      </w:r>
    </w:p>
    <w:p w14:paraId="090B7178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sprječavanje i smanjenje štetnih posljedica požara,</w:t>
      </w:r>
    </w:p>
    <w:p w14:paraId="170CB6AD" w14:textId="77777777" w:rsidR="00A049CD" w:rsidRPr="00A049CD" w:rsidRDefault="00A049CD" w:rsidP="00A049CD">
      <w:pPr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utvrđivanje uzroka nastanka požara te otklanjanje njegovih posljedica.</w:t>
      </w:r>
    </w:p>
    <w:p w14:paraId="5DC8D985" w14:textId="77777777" w:rsidR="00A049CD" w:rsidRPr="00A049CD" w:rsidRDefault="00A049CD" w:rsidP="00A049CD">
      <w:pPr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7D4DB8E0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Zaštitu od požara provode, osim fizičkih i pravnih osoba provode i udruge koje obavljaju vatrogasnu djelatnost i djelatnost civilne zaštite, Grad te Krapinsko - zagorska županija. Svaka fizička i pravna osoba odgovorna je za neprovođenje mjera zaštite od požara, izazivanje požara, kao i za posljedice koje iz toga nastanu. Dokumenti zaštite od požara na području Grada kojima se uređuju organizacija i mjere zaštite od požara su Plan zaštite od požara i Godišnji provedbeni plan unaprjeđenja zaštite od požara. Godišnji provedbeni plan unaprjeđenja zaštite od požara Grada donosi se na temelju Godišnjeg provedbenog plana unaprjeđenja zaštite od požara Krapinsko - zagorske županije. Gradsko vijeće dužno je najmanje jednom godišnje razmatrati Izvješće o stanju zaštite od požara na području Grada i stanju provedbe godišnjeg provedbenog plana unaprjeđenja zaštite od požara.</w:t>
      </w:r>
    </w:p>
    <w:p w14:paraId="29BA695B" w14:textId="77777777" w:rsidR="00A049CD" w:rsidRPr="00A049CD" w:rsidRDefault="00A049CD" w:rsidP="00A049CD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3" w:name="_Toc32500287"/>
      <w:r w:rsidRPr="00A049CD">
        <w:rPr>
          <w:rFonts w:ascii="Times New Roman" w:hAnsi="Times New Roman" w:cs="Times New Roman"/>
          <w:i/>
          <w:iCs/>
          <w:sz w:val="24"/>
          <w:szCs w:val="24"/>
        </w:rPr>
        <w:t>Mjere obrane od poplava</w:t>
      </w:r>
      <w:bookmarkEnd w:id="23"/>
    </w:p>
    <w:p w14:paraId="21E15778" w14:textId="55CF7E63" w:rsidR="00D364C6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Operativno upravljanje rizicima od poplava i neposredna provedba mjera obrane od poplava utvrđeno je Državnim planom obrane od poplava („Narodne novine“ broj 84/10), kojeg </w:t>
      </w:r>
      <w:r w:rsidRPr="00A049CD">
        <w:rPr>
          <w:rFonts w:ascii="Times New Roman" w:hAnsi="Times New Roman" w:cs="Times New Roman"/>
          <w:sz w:val="24"/>
          <w:szCs w:val="24"/>
        </w:rPr>
        <w:lastRenderedPageBreak/>
        <w:t>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Obveze Državnog hidrometeorološkog zavoda su  prikupljanje i dostava podataka, prognoza i upozorenja o hidrometeorološkim pojavama od značenja za obranu od poplava,  upute za izradu izvještaja o provedenim mjerama obrane od poplava, kartografski prikaz granica branjenih područja.</w:t>
      </w:r>
    </w:p>
    <w:p w14:paraId="2347F46C" w14:textId="77777777" w:rsid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DD77A27" w14:textId="50F2CD3D" w:rsidR="00A049CD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7B82EC99" w14:textId="227F75C9" w:rsidR="00A049CD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23F1EED" w14:textId="77777777" w:rsidR="00A049CD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75F2A35" w14:textId="6AEBBFC7" w:rsidR="00A049CD" w:rsidRPr="006606A6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5CE56508" w14:textId="77777777" w:rsidR="00D364C6" w:rsidRDefault="00D364C6" w:rsidP="00D707B3">
      <w:pPr>
        <w:jc w:val="right"/>
      </w:pPr>
    </w:p>
    <w:p w14:paraId="6761DBAD" w14:textId="77777777" w:rsidR="00D707B3" w:rsidRDefault="00D707B3" w:rsidP="00D707B3">
      <w:pPr>
        <w:jc w:val="right"/>
      </w:pPr>
    </w:p>
    <w:p w14:paraId="3035766E" w14:textId="77777777" w:rsidR="00D707B3" w:rsidRDefault="00D707B3" w:rsidP="00D707B3"/>
    <w:p w14:paraId="0E0D3A1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C7A864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37E50A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FE8B7A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DD9BF0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0A66DC3" wp14:editId="3BCDB75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D354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6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1CD354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29C"/>
    <w:multiLevelType w:val="hybridMultilevel"/>
    <w:tmpl w:val="85B871B6"/>
    <w:lvl w:ilvl="0" w:tplc="7D4A1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D3908"/>
    <w:multiLevelType w:val="hybridMultilevel"/>
    <w:tmpl w:val="70B8B6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42E5A"/>
    <w:multiLevelType w:val="hybridMultilevel"/>
    <w:tmpl w:val="955C7AC6"/>
    <w:lvl w:ilvl="0" w:tplc="495EE9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4757">
    <w:abstractNumId w:val="4"/>
  </w:num>
  <w:num w:numId="2" w16cid:durableId="777258827">
    <w:abstractNumId w:val="1"/>
  </w:num>
  <w:num w:numId="3" w16cid:durableId="1337925226">
    <w:abstractNumId w:val="2"/>
  </w:num>
  <w:num w:numId="4" w16cid:durableId="1407608525">
    <w:abstractNumId w:val="3"/>
  </w:num>
  <w:num w:numId="5" w16cid:durableId="1397976511">
    <w:abstractNumId w:val="7"/>
  </w:num>
  <w:num w:numId="6" w16cid:durableId="82531434">
    <w:abstractNumId w:val="5"/>
  </w:num>
  <w:num w:numId="7" w16cid:durableId="1696731840">
    <w:abstractNumId w:val="0"/>
  </w:num>
  <w:num w:numId="8" w16cid:durableId="178853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325C2"/>
    <w:rsid w:val="00275B0C"/>
    <w:rsid w:val="002951B8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049CD"/>
    <w:rsid w:val="00A27D7B"/>
    <w:rsid w:val="00A51602"/>
    <w:rsid w:val="00A836D0"/>
    <w:rsid w:val="00AC35DA"/>
    <w:rsid w:val="00B92D0F"/>
    <w:rsid w:val="00C9578C"/>
    <w:rsid w:val="00CE3238"/>
    <w:rsid w:val="00D27F79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873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A049CD"/>
    <w:pPr>
      <w:keepNext/>
      <w:keepLines/>
      <w:spacing w:before="480" w:line="276" w:lineRule="auto"/>
      <w:jc w:val="both"/>
      <w:outlineLvl w:val="0"/>
    </w:pPr>
    <w:rPr>
      <w:rFonts w:eastAsiaTheme="majorEastAsia" w:cstheme="majorBidi"/>
      <w:b/>
      <w:bCs/>
      <w:noProof w:val="0"/>
      <w:sz w:val="24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049CD"/>
    <w:pPr>
      <w:keepNext/>
      <w:keepLines/>
      <w:spacing w:before="200" w:line="276" w:lineRule="auto"/>
      <w:jc w:val="both"/>
      <w:outlineLvl w:val="1"/>
    </w:pPr>
    <w:rPr>
      <w:rFonts w:eastAsiaTheme="majorEastAsia" w:cstheme="majorBidi"/>
      <w:bCs/>
      <w:noProof w:val="0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A049CD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A049CD"/>
    <w:rPr>
      <w:rFonts w:eastAsiaTheme="majorEastAsia" w:cstheme="majorBidi"/>
      <w:bCs/>
      <w:szCs w:val="26"/>
    </w:rPr>
  </w:style>
  <w:style w:type="paragraph" w:styleId="Odlomakpopisa">
    <w:name w:val="List Paragraph"/>
    <w:basedOn w:val="Normal"/>
    <w:link w:val="OdlomakpopisaChar"/>
    <w:uiPriority w:val="34"/>
    <w:qFormat/>
    <w:rsid w:val="00A049CD"/>
    <w:pPr>
      <w:spacing w:after="200" w:line="276" w:lineRule="auto"/>
      <w:ind w:left="720"/>
      <w:contextualSpacing/>
    </w:pPr>
    <w:rPr>
      <w:noProof w:val="0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A049C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1700</Words>
  <Characters>9691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2024-03-01T07:54:00Z</cp:lastPrinted>
  <dcterms:created xsi:type="dcterms:W3CDTF">2024-03-01T07:54:00Z</dcterms:created>
  <dcterms:modified xsi:type="dcterms:W3CDTF">2024-03-01T07:55:00Z</dcterms:modified>
</cp:coreProperties>
</file>